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4C8B3" w14:textId="6564BDE9" w:rsidR="00F908A4" w:rsidRPr="00216905" w:rsidRDefault="00F908A4" w:rsidP="00F908A4">
      <w:pPr>
        <w:pStyle w:val="Heading1"/>
      </w:pPr>
      <w:r w:rsidRPr="00216905">
        <w:t>Housing Terms Glossary</w:t>
      </w:r>
    </w:p>
    <w:p w14:paraId="20C452FF" w14:textId="77777777" w:rsidR="00F908A4" w:rsidRPr="00216905" w:rsidRDefault="00F908A4"/>
    <w:p w14:paraId="26B0BD8E" w14:textId="77777777" w:rsidR="00F908A4" w:rsidRPr="00216905" w:rsidRDefault="00F908A4"/>
    <w:p w14:paraId="2CFA10F5" w14:textId="26263B67" w:rsidR="00203F50" w:rsidRPr="00216905" w:rsidRDefault="00203F50">
      <w:r w:rsidRPr="00216905">
        <w:rPr>
          <w:b/>
        </w:rPr>
        <w:t>Accessory Dwelling Unit</w:t>
      </w:r>
      <w:r w:rsidRPr="00216905">
        <w:t xml:space="preserve">: </w:t>
      </w:r>
      <w:r w:rsidR="00212C05" w:rsidRPr="00216905">
        <w:t>A secondary and independent housing unit located inside of, or on the same lot as, a single family home.</w:t>
      </w:r>
      <w:r w:rsidR="00C77D72" w:rsidRPr="00216905">
        <w:t xml:space="preserve"> State and local laws may have additional restrictions on size and number of bedrooms.</w:t>
      </w:r>
    </w:p>
    <w:p w14:paraId="77CE0B50" w14:textId="52F8599A" w:rsidR="00AE1A46" w:rsidRPr="00216905" w:rsidRDefault="00A44319">
      <w:r w:rsidRPr="00216905">
        <w:rPr>
          <w:b/>
        </w:rPr>
        <w:t>Affordable Housing</w:t>
      </w:r>
      <w:r w:rsidR="00203F50" w:rsidRPr="00216905">
        <w:t>:</w:t>
      </w:r>
      <w:r w:rsidR="006A1DE3" w:rsidRPr="00216905">
        <w:t xml:space="preserve"> </w:t>
      </w:r>
      <w:r w:rsidR="000C4511" w:rsidRPr="00216905">
        <w:t xml:space="preserve">As defined by US Department of Housing and </w:t>
      </w:r>
      <w:r w:rsidR="00C77D72" w:rsidRPr="00216905">
        <w:t>U</w:t>
      </w:r>
      <w:r w:rsidR="000C4511" w:rsidRPr="00216905">
        <w:t>rban Development, housing (including utilities) that costs no more than 30% of a household’s income.</w:t>
      </w:r>
      <w:r w:rsidR="00C77D72" w:rsidRPr="00216905">
        <w:t xml:space="preserve"> The term is often further limited to housing with costs less than 30% of 120% of the area median income.</w:t>
      </w:r>
    </w:p>
    <w:p w14:paraId="5ADCB18D" w14:textId="3AF50336" w:rsidR="002A2CD5" w:rsidRPr="00216905" w:rsidRDefault="002A2CD5">
      <w:pPr>
        <w:rPr>
          <w:bCs/>
        </w:rPr>
      </w:pPr>
      <w:r w:rsidRPr="00216905">
        <w:rPr>
          <w:b/>
        </w:rPr>
        <w:t>Apartment Building</w:t>
      </w:r>
      <w:r w:rsidRPr="00216905">
        <w:rPr>
          <w:bCs/>
        </w:rPr>
        <w:t>: A residential building, typically multi-story, that is larger than a multi-unit dwelling and where units are more commonly rented than owned.</w:t>
      </w:r>
    </w:p>
    <w:p w14:paraId="1ECC298C" w14:textId="25D4415F" w:rsidR="00A92434" w:rsidRPr="00216905" w:rsidRDefault="00A92434">
      <w:r w:rsidRPr="00216905">
        <w:rPr>
          <w:b/>
        </w:rPr>
        <w:t>Bung</w:t>
      </w:r>
      <w:r w:rsidR="00203F50" w:rsidRPr="00216905">
        <w:rPr>
          <w:b/>
        </w:rPr>
        <w:t>alow Court</w:t>
      </w:r>
      <w:r w:rsidR="00203F50" w:rsidRPr="00216905">
        <w:t xml:space="preserve">: </w:t>
      </w:r>
      <w:r w:rsidR="00E47D75" w:rsidRPr="00216905">
        <w:t xml:space="preserve"> </w:t>
      </w:r>
      <w:r w:rsidR="006A1DE3" w:rsidRPr="00216905">
        <w:t xml:space="preserve">A </w:t>
      </w:r>
      <w:r w:rsidR="000558A5" w:rsidRPr="00216905">
        <w:t>cluster</w:t>
      </w:r>
      <w:r w:rsidR="006A1DE3" w:rsidRPr="00216905">
        <w:t xml:space="preserve"> of </w:t>
      </w:r>
      <w:r w:rsidR="002A2CD5" w:rsidRPr="00216905">
        <w:t xml:space="preserve">several </w:t>
      </w:r>
      <w:r w:rsidR="003C3A94" w:rsidRPr="00216905">
        <w:t xml:space="preserve">free-standing homes arranged around a central open space, </w:t>
      </w:r>
      <w:r w:rsidR="00591503" w:rsidRPr="00216905">
        <w:t>often</w:t>
      </w:r>
      <w:r w:rsidR="003C3A94" w:rsidRPr="00216905">
        <w:t xml:space="preserve"> in an oblong formation arranged perpendicular to the road.</w:t>
      </w:r>
    </w:p>
    <w:p w14:paraId="4111B3FF" w14:textId="77977B3A" w:rsidR="00E47D75" w:rsidRPr="00216905" w:rsidRDefault="00E47D75">
      <w:r w:rsidRPr="00216905">
        <w:rPr>
          <w:b/>
        </w:rPr>
        <w:t>Cohousing</w:t>
      </w:r>
      <w:r w:rsidRPr="00216905">
        <w:t xml:space="preserve">: </w:t>
      </w:r>
      <w:r w:rsidR="000447D0" w:rsidRPr="00216905">
        <w:t>A group</w:t>
      </w:r>
      <w:r w:rsidR="000948F2" w:rsidRPr="00216905">
        <w:t xml:space="preserve"> </w:t>
      </w:r>
      <w:r w:rsidR="00FE5395" w:rsidRPr="00216905">
        <w:t xml:space="preserve">of </w:t>
      </w:r>
      <w:r w:rsidR="000948F2" w:rsidRPr="00216905">
        <w:t>homes</w:t>
      </w:r>
      <w:r w:rsidR="000447D0" w:rsidRPr="00216905">
        <w:t xml:space="preserve"> linked by physical proximity, common spaces</w:t>
      </w:r>
      <w:r w:rsidR="00D61B9B" w:rsidRPr="00216905">
        <w:t xml:space="preserve"> and facilities</w:t>
      </w:r>
      <w:r w:rsidR="000447D0" w:rsidRPr="00216905">
        <w:t xml:space="preserve">, and </w:t>
      </w:r>
      <w:r w:rsidR="000B00B1" w:rsidRPr="00216905">
        <w:t>participatory</w:t>
      </w:r>
      <w:r w:rsidR="000447D0" w:rsidRPr="00216905">
        <w:t xml:space="preserve"> governance structures.</w:t>
      </w:r>
    </w:p>
    <w:p w14:paraId="4AA44E80" w14:textId="3D1A7CB5" w:rsidR="00543F76" w:rsidRPr="00216905" w:rsidRDefault="00543F76">
      <w:r w:rsidRPr="00216905">
        <w:rPr>
          <w:b/>
        </w:rPr>
        <w:t>Community Land Trust</w:t>
      </w:r>
      <w:r w:rsidRPr="00216905">
        <w:t>:</w:t>
      </w:r>
      <w:r w:rsidR="0032407D" w:rsidRPr="00216905">
        <w:t xml:space="preserve"> A private, non-profit organization </w:t>
      </w:r>
      <w:r w:rsidR="00D96515" w:rsidRPr="00216905">
        <w:t>that holds title to a collection of parcels</w:t>
      </w:r>
      <w:r w:rsidR="00FB2E32" w:rsidRPr="00216905">
        <w:t xml:space="preserve"> scattered over its service area. Community land trusts can be used to increase the supply of affordable housing by </w:t>
      </w:r>
      <w:r w:rsidR="004B6FED" w:rsidRPr="00216905">
        <w:t>leasing the land</w:t>
      </w:r>
      <w:r w:rsidR="00B470C5" w:rsidRPr="00216905">
        <w:t xml:space="preserve"> under a home for a nominal fee, setting affordable unit quotas for developers, and </w:t>
      </w:r>
      <w:r w:rsidR="001B7860" w:rsidRPr="00216905">
        <w:t>imposing home resale price restrictions.</w:t>
      </w:r>
    </w:p>
    <w:p w14:paraId="3C2EF2DD" w14:textId="5E550E72" w:rsidR="005C467D" w:rsidRPr="00216905" w:rsidRDefault="005C467D">
      <w:r w:rsidRPr="00216905">
        <w:rPr>
          <w:b/>
          <w:bCs/>
        </w:rPr>
        <w:t>Condominium</w:t>
      </w:r>
      <w:r w:rsidRPr="00216905">
        <w:t>: Several attached housing units</w:t>
      </w:r>
      <w:r w:rsidR="002A2CD5" w:rsidRPr="00216905">
        <w:t>, typically multi-story,</w:t>
      </w:r>
      <w:r w:rsidRPr="00216905">
        <w:t xml:space="preserve"> that may be separately owned, but that have a joint agreement, typically covering joint ownership and maintenance of grounds and the building</w:t>
      </w:r>
      <w:r w:rsidR="002A2CD5" w:rsidRPr="00216905">
        <w:t>’s</w:t>
      </w:r>
      <w:r w:rsidRPr="00216905">
        <w:t xml:space="preserve"> exterior.  </w:t>
      </w:r>
    </w:p>
    <w:p w14:paraId="283CEEF0" w14:textId="5328BB6A" w:rsidR="005C467D" w:rsidRPr="00216905" w:rsidRDefault="005C467D">
      <w:r w:rsidRPr="00216905">
        <w:rPr>
          <w:b/>
          <w:bCs/>
        </w:rPr>
        <w:t>Duplex</w:t>
      </w:r>
      <w:r w:rsidRPr="00216905">
        <w:t>: A residential structure with two housing units.</w:t>
      </w:r>
    </w:p>
    <w:p w14:paraId="77DABC1F" w14:textId="22D59288" w:rsidR="00FA1099" w:rsidRPr="00216905" w:rsidRDefault="00FA1099">
      <w:r w:rsidRPr="00216905">
        <w:rPr>
          <w:b/>
        </w:rPr>
        <w:t>Employer-Assisted Housing</w:t>
      </w:r>
      <w:r w:rsidRPr="00216905">
        <w:t xml:space="preserve">: </w:t>
      </w:r>
      <w:r w:rsidR="00CE7C55" w:rsidRPr="00216905">
        <w:t>Employers help employees locate affordable housing and/or provide financial assistance in the form of loans, grants, matched savings plans, etc.</w:t>
      </w:r>
    </w:p>
    <w:p w14:paraId="5DF5FBF7" w14:textId="7CC2BE0A" w:rsidR="001B7136" w:rsidRPr="00216905" w:rsidRDefault="001B7136">
      <w:r w:rsidRPr="00216905">
        <w:rPr>
          <w:b/>
        </w:rPr>
        <w:t>Homebuyer Assistance</w:t>
      </w:r>
      <w:r w:rsidRPr="00216905">
        <w:t xml:space="preserve">: A number of programs, often government funded, </w:t>
      </w:r>
      <w:r w:rsidR="00B2712B" w:rsidRPr="00216905">
        <w:t>that</w:t>
      </w:r>
      <w:r w:rsidRPr="00216905">
        <w:t xml:space="preserve"> help low- and moderate-income households purchase a home. </w:t>
      </w:r>
      <w:r w:rsidR="00B2712B" w:rsidRPr="00216905">
        <w:t xml:space="preserve">Examples include: downpayment and closing cost assistance, subsidized interest rates, first-time homebuyer counseling and education, etc. </w:t>
      </w:r>
    </w:p>
    <w:p w14:paraId="56017174" w14:textId="6CA37F97" w:rsidR="00C61313" w:rsidRPr="00216905" w:rsidRDefault="00C61313">
      <w:r w:rsidRPr="00216905">
        <w:rPr>
          <w:b/>
        </w:rPr>
        <w:t>Home Resale Restrictions</w:t>
      </w:r>
      <w:r w:rsidRPr="00216905">
        <w:t xml:space="preserve">: Restrictions enacted by a property owner to ensure long-term affordability of a property such as homebuyer income qualifications, </w:t>
      </w:r>
      <w:r w:rsidR="00C927AD" w:rsidRPr="00216905">
        <w:t xml:space="preserve">deed restrictions that limit </w:t>
      </w:r>
      <w:r w:rsidRPr="00216905">
        <w:t xml:space="preserve">resale price, </w:t>
      </w:r>
      <w:r w:rsidR="003E4117" w:rsidRPr="00216905">
        <w:t xml:space="preserve">prohibitions on leasing, limits on </w:t>
      </w:r>
      <w:r w:rsidR="00B67C7C" w:rsidRPr="00216905">
        <w:t>permissi</w:t>
      </w:r>
      <w:r w:rsidR="00DB1AC1" w:rsidRPr="00216905">
        <w:t>ble</w:t>
      </w:r>
      <w:r w:rsidR="003E4117" w:rsidRPr="00216905">
        <w:t xml:space="preserve"> renovation</w:t>
      </w:r>
      <w:r w:rsidR="00331534" w:rsidRPr="00216905">
        <w:t>s</w:t>
      </w:r>
      <w:r w:rsidR="003E4117" w:rsidRPr="00216905">
        <w:t xml:space="preserve">, </w:t>
      </w:r>
      <w:r w:rsidRPr="00216905">
        <w:t>etc.</w:t>
      </w:r>
    </w:p>
    <w:p w14:paraId="7000BCDE" w14:textId="5CAAA38E" w:rsidR="00D02BF7" w:rsidRPr="00216905" w:rsidRDefault="00D02BF7">
      <w:r w:rsidRPr="00216905">
        <w:rPr>
          <w:b/>
        </w:rPr>
        <w:t>Homesharing</w:t>
      </w:r>
      <w:r w:rsidRPr="00216905">
        <w:t>: An arrangement between 2 or more unrelated people to share common areas of a home, while maintaining private bedrooms. Non-owners pay rent and/or provide help around home.</w:t>
      </w:r>
    </w:p>
    <w:p w14:paraId="19515475" w14:textId="7A80DFE6" w:rsidR="005C467D" w:rsidRPr="00216905" w:rsidRDefault="005C467D">
      <w:r w:rsidRPr="00216905">
        <w:rPr>
          <w:b/>
          <w:bCs/>
        </w:rPr>
        <w:t>Housing unit (dwelling)</w:t>
      </w:r>
      <w:r w:rsidRPr="00216905">
        <w:t>: A structure, or part of a structure, that is residential in nature and includes a kitchen, bedroom and bathroom.</w:t>
      </w:r>
    </w:p>
    <w:p w14:paraId="1A4EAFB3" w14:textId="44CE5D16" w:rsidR="00997341" w:rsidRPr="00216905" w:rsidRDefault="00997341">
      <w:r w:rsidRPr="00216905">
        <w:rPr>
          <w:b/>
          <w:bCs/>
        </w:rPr>
        <w:lastRenderedPageBreak/>
        <w:t>Incentives, Affordable Housing</w:t>
      </w:r>
      <w:r w:rsidRPr="00216905">
        <w:t>: In zoning or subdivision, these may lessen lot size, coverage, density, or other requirements for developments that include a certain percentage of affordable units.</w:t>
      </w:r>
    </w:p>
    <w:p w14:paraId="45AD2CBE" w14:textId="78A790C2" w:rsidR="005E08D3" w:rsidRPr="00216905" w:rsidRDefault="005E08D3">
      <w:r w:rsidRPr="00216905">
        <w:rPr>
          <w:b/>
        </w:rPr>
        <w:t>Inclusionary zoning</w:t>
      </w:r>
      <w:r w:rsidRPr="00216905">
        <w:t xml:space="preserve">: Local zoning that requires the inclusion of affordable housing </w:t>
      </w:r>
      <w:r w:rsidR="00C502EA" w:rsidRPr="00216905">
        <w:t xml:space="preserve">units </w:t>
      </w:r>
      <w:r w:rsidRPr="00216905">
        <w:t>in new development</w:t>
      </w:r>
      <w:r w:rsidR="00997341" w:rsidRPr="00216905">
        <w:t>, usually through a mandated percent of the new units or payment to a housing fund</w:t>
      </w:r>
      <w:r w:rsidRPr="00216905">
        <w:t xml:space="preserve">. </w:t>
      </w:r>
    </w:p>
    <w:p w14:paraId="584BF361" w14:textId="28B94E42" w:rsidR="00FB3907" w:rsidRPr="00216905" w:rsidRDefault="00FB3907">
      <w:r w:rsidRPr="00216905">
        <w:rPr>
          <w:b/>
        </w:rPr>
        <w:t>Infill Development</w:t>
      </w:r>
      <w:r w:rsidRPr="00216905">
        <w:t xml:space="preserve">: </w:t>
      </w:r>
      <w:r w:rsidR="00C03DD8" w:rsidRPr="00216905">
        <w:t xml:space="preserve">New development </w:t>
      </w:r>
      <w:r w:rsidR="00997341" w:rsidRPr="00216905">
        <w:t xml:space="preserve">on vacant lots within built areas </w:t>
      </w:r>
      <w:r w:rsidR="00C03DD8" w:rsidRPr="00216905">
        <w:t>or redevelopment in already</w:t>
      </w:r>
      <w:r w:rsidR="001A1451" w:rsidRPr="00216905">
        <w:t xml:space="preserve"> built</w:t>
      </w:r>
      <w:r w:rsidR="00C03DD8" w:rsidRPr="00216905">
        <w:t xml:space="preserve"> areas, for the purpose of </w:t>
      </w:r>
      <w:r w:rsidR="001A1451" w:rsidRPr="00216905">
        <w:t>maximizing use of available land</w:t>
      </w:r>
      <w:r w:rsidR="00997341" w:rsidRPr="00216905">
        <w:t xml:space="preserve"> in core areas</w:t>
      </w:r>
      <w:r w:rsidR="001A1451" w:rsidRPr="00216905">
        <w:t xml:space="preserve">, </w:t>
      </w:r>
      <w:r w:rsidR="00A16322" w:rsidRPr="00216905">
        <w:t xml:space="preserve">ensuring the efficiency of public </w:t>
      </w:r>
      <w:r w:rsidR="00993906" w:rsidRPr="00216905">
        <w:t xml:space="preserve">utilities and infrastructure, </w:t>
      </w:r>
      <w:r w:rsidR="00D95D6A" w:rsidRPr="00216905">
        <w:t>and maintain</w:t>
      </w:r>
      <w:r w:rsidR="0074106A" w:rsidRPr="00216905">
        <w:t>ing</w:t>
      </w:r>
      <w:r w:rsidR="00D95D6A" w:rsidRPr="00216905">
        <w:t xml:space="preserve"> the integrity and vitality of downtowns and village centers.</w:t>
      </w:r>
    </w:p>
    <w:p w14:paraId="626F4898" w14:textId="46BA2DCD" w:rsidR="00FA5B0A" w:rsidRPr="00216905" w:rsidRDefault="00FA5B0A">
      <w:r w:rsidRPr="00216905">
        <w:rPr>
          <w:b/>
        </w:rPr>
        <w:t>Low Income Housing Tax Credit (LIHTC) Program</w:t>
      </w:r>
      <w:r w:rsidRPr="00216905">
        <w:t xml:space="preserve">: </w:t>
      </w:r>
      <w:r w:rsidR="0079633D" w:rsidRPr="00216905">
        <w:t xml:space="preserve">Federal tax incentive program, administered by </w:t>
      </w:r>
      <w:r w:rsidR="009A1564" w:rsidRPr="00216905">
        <w:t>state-</w:t>
      </w:r>
      <w:r w:rsidR="00305A45" w:rsidRPr="00216905">
        <w:t xml:space="preserve">designated </w:t>
      </w:r>
      <w:r w:rsidR="00293F8A" w:rsidRPr="00216905">
        <w:t>agencies</w:t>
      </w:r>
      <w:r w:rsidR="00305A45" w:rsidRPr="00216905">
        <w:t>,</w:t>
      </w:r>
      <w:r w:rsidR="00EA3309" w:rsidRPr="00216905">
        <w:t xml:space="preserve"> to promote the development of new affordable rental units.</w:t>
      </w:r>
      <w:r w:rsidR="00235755" w:rsidRPr="00216905">
        <w:t xml:space="preserve"> </w:t>
      </w:r>
      <w:r w:rsidR="00B753DF" w:rsidRPr="00216905">
        <w:t>Federal income tax credits have a lifespan of 10 years, and pa</w:t>
      </w:r>
      <w:r w:rsidR="00235755" w:rsidRPr="00216905">
        <w:t>rticipating properties are committed to meet specific affordability thresholds</w:t>
      </w:r>
      <w:r w:rsidR="00305A45" w:rsidRPr="00216905">
        <w:t xml:space="preserve"> </w:t>
      </w:r>
      <w:r w:rsidR="00235755" w:rsidRPr="00216905">
        <w:t>for 99 years.</w:t>
      </w:r>
    </w:p>
    <w:p w14:paraId="1FAC6B96" w14:textId="51ADFFFB" w:rsidR="00E24E3F" w:rsidRPr="00216905" w:rsidRDefault="00E24E3F">
      <w:r w:rsidRPr="00216905">
        <w:rPr>
          <w:b/>
        </w:rPr>
        <w:t>Micro-Units</w:t>
      </w:r>
      <w:r w:rsidRPr="00216905">
        <w:t xml:space="preserve">: </w:t>
      </w:r>
      <w:r w:rsidR="00A97EDE" w:rsidRPr="00216905">
        <w:t xml:space="preserve">Very small apartments that are typically open concept and under 400 </w:t>
      </w:r>
      <w:r w:rsidR="00337E2F" w:rsidRPr="00216905">
        <w:t>square feet, sometimes with access to common spaces.</w:t>
      </w:r>
    </w:p>
    <w:p w14:paraId="5996C7CA" w14:textId="74945D34" w:rsidR="005C467D" w:rsidRPr="00216905" w:rsidRDefault="005C467D">
      <w:pPr>
        <w:rPr>
          <w:b/>
        </w:rPr>
      </w:pPr>
      <w:r w:rsidRPr="00216905">
        <w:rPr>
          <w:b/>
        </w:rPr>
        <w:t>Multi-family/Multi-unit Housing</w:t>
      </w:r>
      <w:r w:rsidRPr="00216905">
        <w:rPr>
          <w:bCs/>
        </w:rPr>
        <w:t>: A residential structure, or cluster of structures, typically with three to several housing units.</w:t>
      </w:r>
    </w:p>
    <w:p w14:paraId="30A76EEF" w14:textId="55027030" w:rsidR="006C7E4D" w:rsidRPr="00216905" w:rsidRDefault="006C7E4D">
      <w:r w:rsidRPr="00216905">
        <w:rPr>
          <w:b/>
        </w:rPr>
        <w:t>Tax Increment Financing</w:t>
      </w:r>
      <w:r w:rsidR="00997341" w:rsidRPr="00216905">
        <w:rPr>
          <w:b/>
        </w:rPr>
        <w:t xml:space="preserve"> (TIF)</w:t>
      </w:r>
      <w:r w:rsidRPr="00216905">
        <w:t xml:space="preserve">: </w:t>
      </w:r>
      <w:r w:rsidR="00F27637" w:rsidRPr="00216905">
        <w:t>Within a de</w:t>
      </w:r>
      <w:r w:rsidR="003C3150" w:rsidRPr="00216905">
        <w:t xml:space="preserve">signated </w:t>
      </w:r>
      <w:r w:rsidR="00997341" w:rsidRPr="00216905">
        <w:t xml:space="preserve">TIF </w:t>
      </w:r>
      <w:r w:rsidR="003C3150" w:rsidRPr="00216905">
        <w:t xml:space="preserve">area (“district”) and a set time period, a local government finances </w:t>
      </w:r>
      <w:r w:rsidR="00997341" w:rsidRPr="00216905">
        <w:t xml:space="preserve">infrastructure to enable </w:t>
      </w:r>
      <w:r w:rsidR="003C3150" w:rsidRPr="00216905">
        <w:t>development projects by issuing a bond backed by the anticipated increase in property tax revenues.</w:t>
      </w:r>
    </w:p>
    <w:p w14:paraId="1348DA9F" w14:textId="1A489105" w:rsidR="00A92434" w:rsidRPr="00216905" w:rsidRDefault="004B18E3">
      <w:r w:rsidRPr="00216905">
        <w:rPr>
          <w:b/>
        </w:rPr>
        <w:t>Tiny Home</w:t>
      </w:r>
      <w:r w:rsidRPr="00216905">
        <w:t>: A fully-equipped, free-standing home av</w:t>
      </w:r>
      <w:r w:rsidR="005C755C" w:rsidRPr="00216905">
        <w:t>eraging between 100 and</w:t>
      </w:r>
      <w:r w:rsidRPr="00216905">
        <w:t xml:space="preserve"> 400 square feet.</w:t>
      </w:r>
    </w:p>
    <w:p w14:paraId="268033D0" w14:textId="4F6E387E" w:rsidR="000D4B96" w:rsidRPr="00216905" w:rsidRDefault="000D4B96">
      <w:r w:rsidRPr="00216905">
        <w:rPr>
          <w:b/>
        </w:rPr>
        <w:t>Townhouse</w:t>
      </w:r>
      <w:r w:rsidRPr="00216905">
        <w:t xml:space="preserve">: </w:t>
      </w:r>
      <w:r w:rsidR="00270451" w:rsidRPr="00216905">
        <w:t>A</w:t>
      </w:r>
      <w:r w:rsidR="00C77D72" w:rsidRPr="00216905">
        <w:t>n elongated</w:t>
      </w:r>
      <w:r w:rsidR="00270451" w:rsidRPr="00216905">
        <w:t xml:space="preserve"> structure consisting of </w:t>
      </w:r>
      <w:r w:rsidR="00997341" w:rsidRPr="00216905">
        <w:t xml:space="preserve">a few to several </w:t>
      </w:r>
      <w:r w:rsidR="005510BB" w:rsidRPr="00216905">
        <w:t>single-</w:t>
      </w:r>
      <w:r w:rsidR="0007481C" w:rsidRPr="00216905">
        <w:t>family homes</w:t>
      </w:r>
      <w:r w:rsidR="00C77D72" w:rsidRPr="00216905">
        <w:t>, typically 2-3 stories,</w:t>
      </w:r>
      <w:r w:rsidR="0007481C" w:rsidRPr="00216905">
        <w:t xml:space="preserve"> </w:t>
      </w:r>
      <w:r w:rsidR="005510BB" w:rsidRPr="00216905">
        <w:t>that abut</w:t>
      </w:r>
      <w:r w:rsidR="0007481C" w:rsidRPr="00216905">
        <w:t xml:space="preserve"> one another</w:t>
      </w:r>
      <w:r w:rsidR="00C77D72" w:rsidRPr="00216905">
        <w:t xml:space="preserve"> on the sides</w:t>
      </w:r>
      <w:r w:rsidR="0007481C" w:rsidRPr="00216905">
        <w:t>.</w:t>
      </w:r>
    </w:p>
    <w:p w14:paraId="2FBB01FA" w14:textId="684C49B5" w:rsidR="005C467D" w:rsidRPr="00216905" w:rsidRDefault="005C467D">
      <w:pPr>
        <w:rPr>
          <w:bCs/>
        </w:rPr>
      </w:pPr>
      <w:r w:rsidRPr="00216905">
        <w:rPr>
          <w:b/>
        </w:rPr>
        <w:t>Triplex</w:t>
      </w:r>
      <w:r w:rsidRPr="00216905">
        <w:rPr>
          <w:bCs/>
        </w:rPr>
        <w:t>: A residential structure with 3 housing units.</w:t>
      </w:r>
    </w:p>
    <w:p w14:paraId="44585601" w14:textId="3FFAF9B5" w:rsidR="009B0635" w:rsidRPr="00216905" w:rsidRDefault="009B0635">
      <w:r w:rsidRPr="00216905">
        <w:rPr>
          <w:b/>
        </w:rPr>
        <w:t>Supportive Housing</w:t>
      </w:r>
      <w:r w:rsidRPr="00216905">
        <w:t>: A</w:t>
      </w:r>
      <w:r w:rsidR="009E1FDA">
        <w:t xml:space="preserve"> housing model</w:t>
      </w:r>
      <w:r w:rsidRPr="00216905">
        <w:t xml:space="preserve"> </w:t>
      </w:r>
      <w:r w:rsidR="00F455E0">
        <w:t xml:space="preserve">for vulnerable families and individuals </w:t>
      </w:r>
      <w:bookmarkStart w:id="0" w:name="_GoBack"/>
      <w:bookmarkEnd w:id="0"/>
      <w:r w:rsidRPr="00216905">
        <w:t xml:space="preserve">that </w:t>
      </w:r>
      <w:r w:rsidR="00F90EBF" w:rsidRPr="00216905">
        <w:t>provides tenants with voluntary social services</w:t>
      </w:r>
      <w:r w:rsidR="00F90EBF" w:rsidRPr="00216905">
        <w:t xml:space="preserve"> </w:t>
      </w:r>
      <w:r w:rsidR="00F90EBF" w:rsidRPr="00216905">
        <w:t>and</w:t>
      </w:r>
      <w:r w:rsidR="00F90EBF" w:rsidRPr="00216905">
        <w:t xml:space="preserve"> </w:t>
      </w:r>
      <w:r w:rsidRPr="00216905">
        <w:t>subsidizes rent</w:t>
      </w:r>
      <w:r w:rsidR="00F90EBF">
        <w:t xml:space="preserve"> </w:t>
      </w:r>
      <w:r w:rsidR="00F90EBF" w:rsidRPr="00F90EBF">
        <w:t>to maintain affordability (</w:t>
      </w:r>
      <w:r w:rsidR="00F90EBF">
        <w:t>typically under</w:t>
      </w:r>
      <w:r w:rsidR="00F90EBF" w:rsidRPr="00F90EBF">
        <w:t xml:space="preserve"> 30%</w:t>
      </w:r>
      <w:r w:rsidR="00F90EBF">
        <w:t xml:space="preserve"> of household income</w:t>
      </w:r>
      <w:r w:rsidR="00F90EBF" w:rsidRPr="00F90EBF">
        <w:t>)</w:t>
      </w:r>
      <w:r w:rsidRPr="00216905">
        <w:t>.</w:t>
      </w:r>
    </w:p>
    <w:p w14:paraId="2830BA92" w14:textId="53EA8599" w:rsidR="00A92434" w:rsidRDefault="005154C3" w:rsidP="00257DBB">
      <w:r w:rsidRPr="00216905">
        <w:rPr>
          <w:b/>
        </w:rPr>
        <w:t>Workforce Housing</w:t>
      </w:r>
      <w:r w:rsidRPr="00216905">
        <w:t xml:space="preserve">: </w:t>
      </w:r>
      <w:r w:rsidR="00257DBB" w:rsidRPr="00216905">
        <w:t>Affordable housing that is in close proximity to employment centers, and is typically associated with members of the community who are gainfully employed.</w:t>
      </w:r>
      <w:r w:rsidR="00C77D72" w:rsidRPr="00216905">
        <w:t xml:space="preserve"> The term</w:t>
      </w:r>
      <w:r w:rsidR="002A2CD5" w:rsidRPr="00216905">
        <w:t xml:space="preserve"> is used to </w:t>
      </w:r>
      <w:r w:rsidR="00C77D72" w:rsidRPr="00216905">
        <w:t xml:space="preserve">cover housing beyond income limits </w:t>
      </w:r>
      <w:r w:rsidR="005C467D" w:rsidRPr="00216905">
        <w:t>on affordable housing</w:t>
      </w:r>
      <w:r w:rsidR="002A2CD5" w:rsidRPr="00216905">
        <w:t>, often for 100-200% of median income</w:t>
      </w:r>
      <w:r w:rsidR="005C467D" w:rsidRPr="00216905">
        <w:t>.</w:t>
      </w:r>
      <w:r w:rsidR="005C467D">
        <w:t xml:space="preserve"> </w:t>
      </w:r>
      <w:r w:rsidR="00C77D72">
        <w:t xml:space="preserve"> </w:t>
      </w:r>
    </w:p>
    <w:p w14:paraId="689DCC35" w14:textId="77777777" w:rsidR="00A92434" w:rsidRDefault="00A92434"/>
    <w:sectPr w:rsidR="00A92434" w:rsidSect="009C7C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C7CE9" w14:textId="77777777" w:rsidR="00D86DDF" w:rsidRDefault="00D86DDF" w:rsidP="00F908A4">
      <w:r>
        <w:separator/>
      </w:r>
    </w:p>
  </w:endnote>
  <w:endnote w:type="continuationSeparator" w:id="0">
    <w:p w14:paraId="21D187F6" w14:textId="77777777" w:rsidR="00D86DDF" w:rsidRDefault="00D86DDF" w:rsidP="00F9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5F25C" w14:textId="77777777" w:rsidR="00D86DDF" w:rsidRDefault="00D86DDF" w:rsidP="00F908A4">
      <w:r>
        <w:separator/>
      </w:r>
    </w:p>
  </w:footnote>
  <w:footnote w:type="continuationSeparator" w:id="0">
    <w:p w14:paraId="71A2FC2E" w14:textId="77777777" w:rsidR="00D86DDF" w:rsidRDefault="00D86DDF" w:rsidP="00F90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F2"/>
    <w:rsid w:val="0002488E"/>
    <w:rsid w:val="000447D0"/>
    <w:rsid w:val="000558A5"/>
    <w:rsid w:val="0007481C"/>
    <w:rsid w:val="000948F2"/>
    <w:rsid w:val="000B00B1"/>
    <w:rsid w:val="000C4511"/>
    <w:rsid w:val="000D4B96"/>
    <w:rsid w:val="00102AA5"/>
    <w:rsid w:val="001171FA"/>
    <w:rsid w:val="001255A4"/>
    <w:rsid w:val="00126A03"/>
    <w:rsid w:val="001866F9"/>
    <w:rsid w:val="001A1451"/>
    <w:rsid w:val="001B7136"/>
    <w:rsid w:val="001B7860"/>
    <w:rsid w:val="001F25DC"/>
    <w:rsid w:val="00203F50"/>
    <w:rsid w:val="00212C05"/>
    <w:rsid w:val="00216905"/>
    <w:rsid w:val="00235755"/>
    <w:rsid w:val="00257DBB"/>
    <w:rsid w:val="00270451"/>
    <w:rsid w:val="00293F8A"/>
    <w:rsid w:val="002A2CD5"/>
    <w:rsid w:val="00305A45"/>
    <w:rsid w:val="00314E83"/>
    <w:rsid w:val="0032407D"/>
    <w:rsid w:val="00331534"/>
    <w:rsid w:val="00337E2F"/>
    <w:rsid w:val="003C3150"/>
    <w:rsid w:val="003C3A94"/>
    <w:rsid w:val="003C50E0"/>
    <w:rsid w:val="003C74A7"/>
    <w:rsid w:val="003E4117"/>
    <w:rsid w:val="00422E78"/>
    <w:rsid w:val="0042665B"/>
    <w:rsid w:val="004900B9"/>
    <w:rsid w:val="004B18E3"/>
    <w:rsid w:val="004B6FED"/>
    <w:rsid w:val="004E2687"/>
    <w:rsid w:val="004F3C75"/>
    <w:rsid w:val="005154C3"/>
    <w:rsid w:val="00543F76"/>
    <w:rsid w:val="005510BB"/>
    <w:rsid w:val="00591503"/>
    <w:rsid w:val="005C467D"/>
    <w:rsid w:val="005C755C"/>
    <w:rsid w:val="005D189E"/>
    <w:rsid w:val="005E08D3"/>
    <w:rsid w:val="006A1DE3"/>
    <w:rsid w:val="006C7E4D"/>
    <w:rsid w:val="00716205"/>
    <w:rsid w:val="007312E7"/>
    <w:rsid w:val="0074106A"/>
    <w:rsid w:val="0079633D"/>
    <w:rsid w:val="007B0C15"/>
    <w:rsid w:val="007D2282"/>
    <w:rsid w:val="00812C76"/>
    <w:rsid w:val="008565F2"/>
    <w:rsid w:val="008D492D"/>
    <w:rsid w:val="00993906"/>
    <w:rsid w:val="00997341"/>
    <w:rsid w:val="009A1564"/>
    <w:rsid w:val="009B0635"/>
    <w:rsid w:val="009C7CF6"/>
    <w:rsid w:val="009E1FDA"/>
    <w:rsid w:val="00A16322"/>
    <w:rsid w:val="00A44319"/>
    <w:rsid w:val="00A62F97"/>
    <w:rsid w:val="00A92434"/>
    <w:rsid w:val="00A97EDE"/>
    <w:rsid w:val="00AE1A46"/>
    <w:rsid w:val="00B07002"/>
    <w:rsid w:val="00B172D1"/>
    <w:rsid w:val="00B2712B"/>
    <w:rsid w:val="00B421BA"/>
    <w:rsid w:val="00B470C5"/>
    <w:rsid w:val="00B67C7C"/>
    <w:rsid w:val="00B753DF"/>
    <w:rsid w:val="00BA657A"/>
    <w:rsid w:val="00BB54F2"/>
    <w:rsid w:val="00C02296"/>
    <w:rsid w:val="00C03DD8"/>
    <w:rsid w:val="00C502EA"/>
    <w:rsid w:val="00C53E3C"/>
    <w:rsid w:val="00C61313"/>
    <w:rsid w:val="00C77D72"/>
    <w:rsid w:val="00C85CD3"/>
    <w:rsid w:val="00C927AD"/>
    <w:rsid w:val="00CE7C55"/>
    <w:rsid w:val="00D02BF7"/>
    <w:rsid w:val="00D11D63"/>
    <w:rsid w:val="00D61B9B"/>
    <w:rsid w:val="00D71B38"/>
    <w:rsid w:val="00D86DDF"/>
    <w:rsid w:val="00D95D6A"/>
    <w:rsid w:val="00D96515"/>
    <w:rsid w:val="00DB1AC1"/>
    <w:rsid w:val="00E2208F"/>
    <w:rsid w:val="00E23514"/>
    <w:rsid w:val="00E24E3F"/>
    <w:rsid w:val="00E47D75"/>
    <w:rsid w:val="00EA3309"/>
    <w:rsid w:val="00EC6B1D"/>
    <w:rsid w:val="00EE0165"/>
    <w:rsid w:val="00F27637"/>
    <w:rsid w:val="00F455E0"/>
    <w:rsid w:val="00F908A4"/>
    <w:rsid w:val="00F90EBF"/>
    <w:rsid w:val="00F92A00"/>
    <w:rsid w:val="00FA1099"/>
    <w:rsid w:val="00FA5B0A"/>
    <w:rsid w:val="00FB2E32"/>
    <w:rsid w:val="00FB3907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4E12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0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8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8A4"/>
  </w:style>
  <w:style w:type="paragraph" w:styleId="Footer">
    <w:name w:val="footer"/>
    <w:basedOn w:val="Normal"/>
    <w:link w:val="FooterChar"/>
    <w:uiPriority w:val="99"/>
    <w:unhideWhenUsed/>
    <w:rsid w:val="00F908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8A4"/>
  </w:style>
  <w:style w:type="character" w:customStyle="1" w:styleId="Heading1Char">
    <w:name w:val="Heading 1 Char"/>
    <w:basedOn w:val="DefaultParagraphFont"/>
    <w:link w:val="Heading1"/>
    <w:uiPriority w:val="9"/>
    <w:rsid w:val="00F908A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0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8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8A4"/>
  </w:style>
  <w:style w:type="paragraph" w:styleId="Footer">
    <w:name w:val="footer"/>
    <w:basedOn w:val="Normal"/>
    <w:link w:val="FooterChar"/>
    <w:uiPriority w:val="99"/>
    <w:unhideWhenUsed/>
    <w:rsid w:val="00F908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8A4"/>
  </w:style>
  <w:style w:type="character" w:customStyle="1" w:styleId="Heading1Char">
    <w:name w:val="Heading 1 Char"/>
    <w:basedOn w:val="DefaultParagraphFont"/>
    <w:link w:val="Heading1"/>
    <w:uiPriority w:val="9"/>
    <w:rsid w:val="00F908A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744</Words>
  <Characters>4246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Wraight</dc:creator>
  <cp:keywords/>
  <dc:description/>
  <cp:lastModifiedBy>Sarah Wraight</cp:lastModifiedBy>
  <cp:revision>9</cp:revision>
  <dcterms:created xsi:type="dcterms:W3CDTF">2020-04-14T19:44:00Z</dcterms:created>
  <dcterms:modified xsi:type="dcterms:W3CDTF">2020-04-14T19:51:00Z</dcterms:modified>
</cp:coreProperties>
</file>